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黑体_GBK" w:hAnsi="方正黑体_GBK" w:eastAsia="方正黑体_GBK" w:cs="方正黑体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19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>参照公务员法管理单位工作人员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15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9680" w:type="dxa"/>
        <w:tblInd w:w="-1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650"/>
        <w:gridCol w:w="441"/>
        <w:gridCol w:w="428"/>
        <w:gridCol w:w="428"/>
        <w:gridCol w:w="953"/>
        <w:gridCol w:w="442"/>
        <w:gridCol w:w="1059"/>
        <w:gridCol w:w="442"/>
        <w:gridCol w:w="442"/>
        <w:gridCol w:w="1479"/>
        <w:gridCol w:w="455"/>
        <w:gridCol w:w="734"/>
        <w:gridCol w:w="432"/>
        <w:gridCol w:w="439"/>
        <w:gridCol w:w="4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bookmarkStart w:id="0" w:name="_GoBack"/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符合职位要求的其他条件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考察是否合格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3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大渡口区国有资产管理委员会办公室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（参照）财务监督管理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王锦锴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1996.01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会计学（ACCA）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重庆工商大学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81011255016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73.17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2018-07-13T03:20:43Z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