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left="3960" w:hanging="3960" w:hangingChars="1100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两江公司市场化职业经理人(生产技术副总)</w:t>
      </w:r>
    </w:p>
    <w:p>
      <w:pPr>
        <w:spacing w:line="592" w:lineRule="exact"/>
        <w:ind w:left="3960" w:hanging="3960" w:hangingChars="1100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考核目标责任书</w:t>
      </w:r>
      <w:bookmarkEnd w:id="0"/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一、执行依据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根据《“双百企业”推行经理层成员任期制和契约化管理操作指引》，两江公司副总经理年度薪酬总额，由“基本年薪+绩效年薪+市场化考核年薪”组成，</w:t>
      </w:r>
      <w:r>
        <w:rPr>
          <w:rFonts w:hint="eastAsia" w:ascii="仿宋" w:hAnsi="仿宋" w:eastAsia="仿宋" w:cs="方正仿宋_GBK"/>
          <w:sz w:val="32"/>
          <w:szCs w:val="32"/>
        </w:rPr>
        <w:t>经重庆市水利投资（集团）有限公司考核发放</w:t>
      </w:r>
      <w:r>
        <w:rPr>
          <w:rFonts w:hint="eastAsia" w:ascii="仿宋" w:hAnsi="仿宋" w:eastAsia="仿宋" w:cs="方正仿宋_GBK"/>
          <w:sz w:val="32"/>
          <w:szCs w:val="32"/>
          <w:highlight w:val="none"/>
        </w:rPr>
        <w:t>，第一个任期（2</w:t>
      </w:r>
      <w:r>
        <w:rPr>
          <w:rFonts w:ascii="仿宋" w:hAnsi="仿宋" w:eastAsia="仿宋" w:cs="方正仿宋_GBK"/>
          <w:sz w:val="32"/>
          <w:szCs w:val="32"/>
          <w:highlight w:val="none"/>
        </w:rPr>
        <w:t>020-2022</w:t>
      </w:r>
      <w:r>
        <w:rPr>
          <w:rFonts w:hint="eastAsia" w:ascii="仿宋" w:hAnsi="仿宋" w:eastAsia="仿宋" w:cs="方正仿宋_GBK"/>
          <w:sz w:val="32"/>
          <w:szCs w:val="32"/>
          <w:highlight w:val="none"/>
        </w:rPr>
        <w:t>年）以不超过52</w:t>
      </w:r>
      <w:r>
        <w:rPr>
          <w:rFonts w:ascii="仿宋" w:hAnsi="仿宋" w:eastAsia="仿宋" w:cs="方正仿宋_GBK"/>
          <w:sz w:val="32"/>
          <w:szCs w:val="32"/>
          <w:highlight w:val="none"/>
        </w:rPr>
        <w:t>.5</w:t>
      </w:r>
      <w:r>
        <w:rPr>
          <w:rFonts w:hint="eastAsia" w:ascii="仿宋" w:hAnsi="仿宋" w:eastAsia="仿宋" w:cs="方正仿宋_GBK"/>
          <w:sz w:val="32"/>
          <w:szCs w:val="32"/>
          <w:highlight w:val="none"/>
        </w:rPr>
        <w:t>万元为限。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基本年薪按月固定发放；绩效年薪按月预发50%，次年考核发放；市场化考核年薪与“收入增（减）幅”挂钩考核，次年考核发放。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方正黑体_GBK" w:hAnsi="仿宋" w:eastAsia="方正黑体_GBK" w:cs="仿宋"/>
          <w:snapToGrid w:val="0"/>
          <w:kern w:val="32"/>
          <w:sz w:val="32"/>
          <w:szCs w:val="32"/>
        </w:rPr>
      </w:pPr>
      <w:r>
        <w:rPr>
          <w:rFonts w:hint="eastAsia" w:ascii="方正黑体_GBK" w:hAnsi="仿宋" w:eastAsia="方正黑体_GBK" w:cs="仿宋"/>
          <w:snapToGrid w:val="0"/>
          <w:kern w:val="32"/>
          <w:sz w:val="32"/>
          <w:szCs w:val="32"/>
        </w:rPr>
        <w:t>二、任期目标</w:t>
      </w:r>
    </w:p>
    <w:tbl>
      <w:tblPr>
        <w:tblStyle w:val="2"/>
        <w:tblpPr w:leftFromText="180" w:rightFromText="180" w:vertAnchor="text" w:horzAnchor="margin" w:tblpXSpec="center" w:tblpY="109"/>
        <w:tblOverlap w:val="never"/>
        <w:tblW w:w="597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2609"/>
        <w:gridCol w:w="1283"/>
        <w:gridCol w:w="1426"/>
        <w:gridCol w:w="1634"/>
        <w:gridCol w:w="139"/>
        <w:gridCol w:w="1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663" w:type="pct"/>
            <w:shd w:val="clear" w:color="000000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14" w:type="pct"/>
            <w:shd w:val="clear" w:color="000000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效益</w:t>
            </w:r>
            <w:r>
              <w:rPr>
                <w:rFonts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2020</w:t>
            </w:r>
          </w:p>
        </w:tc>
        <w:tc>
          <w:tcPr>
            <w:tcW w:w="718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2021</w:t>
            </w:r>
          </w:p>
        </w:tc>
        <w:tc>
          <w:tcPr>
            <w:tcW w:w="82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任期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采购保供的营业收入（占比75%）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ind w:firstLine="360" w:firstLineChars="15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718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823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采购保供的利润   （占比10%）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2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党建工作（占比10%）</w:t>
            </w:r>
          </w:p>
        </w:tc>
        <w:tc>
          <w:tcPr>
            <w:tcW w:w="3023" w:type="pct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考核等级B级及以上，不扣分；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考核为C级扣0.5分，C级以下扣1分。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争资立项（占比5%）</w:t>
            </w:r>
          </w:p>
        </w:tc>
        <w:tc>
          <w:tcPr>
            <w:tcW w:w="64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18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823" w:type="pct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836" w:type="pct"/>
            <w:gridSpan w:val="2"/>
            <w:shd w:val="clear" w:color="000000" w:fill="auto"/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辅助指标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渔业管理办公室、</w:t>
            </w:r>
          </w:p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生产技术、均衡上市、渔业保供   </w:t>
            </w:r>
          </w:p>
        </w:tc>
        <w:tc>
          <w:tcPr>
            <w:tcW w:w="3023" w:type="pct"/>
            <w:gridSpan w:val="5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打通一个链条，突出两个靓点，建立三大标准（安全、质量、数量），严格“四个统筹”（苗种投放、精准捕捞、定位运输、市场营销统筹），确保“五个稳定”（品种、规格、数量、质量、成活率的稳定）。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63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314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否决指标</w:t>
            </w:r>
          </w:p>
        </w:tc>
        <w:tc>
          <w:tcPr>
            <w:tcW w:w="2257" w:type="pct"/>
            <w:gridSpan w:val="4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不出现党风廉政建设和反腐败工作及安全生产，涉及的“一票否决”</w:t>
            </w:r>
          </w:p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pct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896"/>
              </w:tabs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三、基本年薪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ascii="仿宋" w:hAnsi="仿宋" w:eastAsia="仿宋" w:cs="仿宋"/>
          <w:snapToGrid w:val="0"/>
          <w:kern w:val="32"/>
          <w:sz w:val="32"/>
          <w:szCs w:val="32"/>
        </w:rPr>
        <w:t>2020-2021年，11.458万元；2022年，10.11万元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。按月固定发放。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四、绩效年薪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以基本年薪为绩效年薪基数，完成下列考核内容：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（一）完成党建考核年度指标（占比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10%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（二）完成子公司水库鱼种统筹采购投放前期及实施工作（占比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40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%）；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（三）完成“四个统筹”，确保“五个稳定”，特别是子公司养鱼协调、生产经营及渔业技术管理工作（占比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0%）。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（四）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完成集团公司安全考核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年度目标。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若安全考核在合格以上等级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的，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不扣分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；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低于合格等级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的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，扣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减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绩效年薪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5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0%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；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如出现安全生产事故，按集团公司相关规定执行。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3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（五）按照“生态发展、引领高端”的品牌定位，全面推进“渝湖”产业“六大体系”（即：鱼种培育、成鱼养殖、市场营销、特色加工、渔业监管、科技支撑体系）建设（占比</w:t>
      </w:r>
      <w:r>
        <w:rPr>
          <w:rFonts w:ascii="仿宋" w:hAnsi="仿宋" w:eastAsia="仿宋" w:cs="仿宋"/>
          <w:snapToGrid w:val="0"/>
          <w:kern w:val="32"/>
          <w:sz w:val="32"/>
          <w:szCs w:val="32"/>
        </w:rPr>
        <w:t>2</w:t>
      </w:r>
      <w:r>
        <w:rPr>
          <w:rFonts w:hint="eastAsia" w:ascii="仿宋" w:hAnsi="仿宋" w:eastAsia="仿宋" w:cs="仿宋"/>
          <w:snapToGrid w:val="0"/>
          <w:kern w:val="32"/>
          <w:sz w:val="32"/>
          <w:szCs w:val="32"/>
        </w:rPr>
        <w:t>0%）；</w:t>
      </w:r>
    </w:p>
    <w:p>
      <w:pPr>
        <w:tabs>
          <w:tab w:val="left" w:pos="5040"/>
        </w:tabs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仿宋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kern w:val="32"/>
          <w:sz w:val="32"/>
          <w:szCs w:val="32"/>
        </w:rPr>
        <w:t>五、市场化考核年薪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基本年薪。2020-2021年，11.458万元；2022年，10.11万元。</w:t>
      </w:r>
    </w:p>
    <w:p>
      <w:pPr>
        <w:spacing w:line="596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绩效年薪基数。与基本年薪一致，</w:t>
      </w:r>
      <w:r>
        <w:rPr>
          <w:rFonts w:hint="eastAsia" w:ascii="方正仿宋_GBK" w:eastAsia="方正仿宋_GBK"/>
          <w:sz w:val="32"/>
          <w:szCs w:val="32"/>
        </w:rPr>
        <w:t>绩效年薪以经济指标考核占比8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（收入指标占比7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，利润指标占比</w:t>
      </w:r>
      <w:r>
        <w:rPr>
          <w:rFonts w:ascii="方正仿宋_GBK" w:eastAsia="方正仿宋_GBK"/>
          <w:sz w:val="32"/>
          <w:szCs w:val="32"/>
        </w:rPr>
        <w:t>10%</w:t>
      </w:r>
      <w:r>
        <w:rPr>
          <w:rFonts w:hint="eastAsia" w:ascii="方正仿宋_GBK" w:eastAsia="方正仿宋_GBK"/>
          <w:sz w:val="32"/>
          <w:szCs w:val="32"/>
        </w:rPr>
        <w:t>）、党建考核占比10%、综合测评占比</w:t>
      </w:r>
      <w:r>
        <w:rPr>
          <w:rFonts w:ascii="方正仿宋_GBK" w:eastAsia="方正仿宋_GBK"/>
          <w:sz w:val="32"/>
          <w:szCs w:val="32"/>
        </w:rPr>
        <w:t>5%</w:t>
      </w:r>
      <w:r>
        <w:rPr>
          <w:rFonts w:hint="eastAsia" w:ascii="方正仿宋_GBK" w:eastAsia="方正仿宋_GBK"/>
          <w:sz w:val="32"/>
          <w:szCs w:val="32"/>
        </w:rPr>
        <w:t>为计算依据，</w:t>
      </w:r>
      <w:r>
        <w:rPr>
          <w:rFonts w:ascii="方正仿宋_GBK" w:eastAsia="方正仿宋_GBK"/>
          <w:sz w:val="32"/>
          <w:szCs w:val="32"/>
        </w:rPr>
        <w:t>根据年度业绩考核结果兑现，按照完成比例发放</w:t>
      </w:r>
      <w:r>
        <w:rPr>
          <w:rFonts w:hint="eastAsia" w:ascii="方正仿宋_GBK" w:eastAsia="方正仿宋_GBK"/>
          <w:sz w:val="32"/>
          <w:szCs w:val="32"/>
        </w:rPr>
        <w:t>。绩效年薪未确定前，可按照基本年薪预发。</w:t>
      </w:r>
    </w:p>
    <w:p>
      <w:pPr>
        <w:spacing w:line="596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3、采购保供的</w:t>
      </w:r>
      <w:r>
        <w:rPr>
          <w:rFonts w:hint="eastAsia" w:ascii="方正仿宋_GBK" w:eastAsia="方正仿宋_GBK"/>
          <w:sz w:val="32"/>
          <w:szCs w:val="32"/>
        </w:rPr>
        <w:t>营业收入超额提成奖。以统筹采购保供的批发销售营业收入100万元为基数，超额累计提成。具体如下：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（1）年度实际完成值较基数超（低）400万元（含）以内的部分，按（实际完成值-100万元）部分4%提成（或扣减），年度总薪酬上限29万元；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（2）年度实际完成值较基数超（低）800万元（含）以内的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，按（实际完成值-500万元）部分3%提成（或扣减），年度总薪酬上限34万元；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（3）年度实际完成值较基数超（低）1000万元（含）以内的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，按（实际完成值-900万元）部分2%提成（或扣减），年度总薪酬上限36万元；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（4）年度实际完成值较基数超1300万元（含）以内的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，按（实际完成值-1100万元）部分的1.5%提成，年度总薪酬上限40万元；</w:t>
      </w:r>
    </w:p>
    <w:p>
      <w:pPr>
        <w:spacing w:line="596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（5）年度实际完成值较基数超1300万元以上的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，按照（实际完成值-1400万元）部分的0.8%提成，年度总薪酬上限52</w:t>
      </w:r>
      <w:r>
        <w:rPr>
          <w:rFonts w:ascii="仿宋" w:hAnsi="仿宋" w:eastAsia="仿宋"/>
          <w:sz w:val="32"/>
          <w:szCs w:val="32"/>
        </w:rPr>
        <w:t>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注：采购保供的营业收入超额提成奖，以采购保供的营业收入实际完成值不低于年度目标值70%，且不影响公司利润总额目标值完成为前提。</w:t>
      </w:r>
    </w:p>
    <w:p>
      <w:pPr>
        <w:spacing w:line="596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重点工作奖。以税后12万元为限，在年度薪酬总额外顺加。</w:t>
      </w:r>
    </w:p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/>
          <w:kern w:val="24"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</w:rPr>
        <w:t>任期激励。按绩效年薪和采购保供的营业收入超额提成奖总和的10%,年度扣除（计提），根据任期考核结果兑现。</w:t>
      </w:r>
    </w:p>
    <w:p>
      <w:pPr>
        <w:spacing w:line="59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0083"/>
    <w:rsid w:val="2F0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2021-11-15T05:37:00Z</dcterms:created>
  <dc:creator>招聘事业部</dc:creator>
  <cp:lastModifiedBy>招聘事业部</cp:lastModifiedBy>
  <dcterms:modified xsi:type="dcterms:W3CDTF">2021-11-15T05:37:38Z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