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招聘岗位情况一览表</w:t>
      </w:r>
    </w:p>
    <w:tbl>
      <w:tblPr>
        <w:tblStyle w:val="2"/>
        <w:tblW w:w="125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91"/>
        <w:gridCol w:w="1097"/>
        <w:gridCol w:w="873"/>
        <w:gridCol w:w="1373"/>
        <w:gridCol w:w="1022"/>
        <w:gridCol w:w="3897"/>
        <w:gridCol w:w="685"/>
        <w:gridCol w:w="1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191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97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7165" w:type="dxa"/>
            <w:gridSpan w:val="4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85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面试比例</w:t>
            </w: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85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渝港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全日制大学本科及以上学历</w:t>
            </w: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法律相关专业</w:t>
            </w:r>
          </w:p>
        </w:tc>
        <w:tc>
          <w:tcPr>
            <w:tcW w:w="1022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35周岁以下（</w:t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1986年10月1日以后出生</w:t>
            </w:r>
            <w:r>
              <w:rPr>
                <w:rStyle w:val="4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"/>
              </w:rPr>
              <w:t>）。</w:t>
            </w: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取得法律职业资格证书。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1:3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综合收入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（含税费）约10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eastAsia="zh-CN"/>
              </w:rPr>
              <w:t>建筑工程相关专业</w:t>
            </w:r>
          </w:p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1.具有二级及以上建造师执业资格证书（建筑、市政方向）；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2.具有5年及以上建筑工程相关工作经验；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3.同等条件下，熟悉工程项目审批程序，有在行政审批部门工作经历优先。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综合收入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（含税费）约10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1.具有中级及以上会计师职称；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2.具有4年及以上会计工作经验；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3.能较熟练运用Word、Excel、PPT等办公软件，熟悉企业财务相关法律法规、企业成本核算和财务管理，熟悉企业税收法规等。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综合收入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（含税费）约9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出纳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会计及相关专业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综合收入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（含税费）约8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衡通公司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87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default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9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 有较强的文字写作功底和沟通、协调、组织能力，能熟练操作word、excel、PPT等办公软件；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 有相关工作经验者优先考虑。</w:t>
            </w:r>
          </w:p>
        </w:tc>
        <w:tc>
          <w:tcPr>
            <w:tcW w:w="685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综合收入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（含税费）约8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万元。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A4907"/>
    <w:rsid w:val="046D6078"/>
    <w:rsid w:val="6E2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5">
    <w:name w:val="font01"/>
    <w:basedOn w:val="3"/>
    <w:qFormat/>
    <w:uiPriority w:val="0"/>
    <w:rPr>
      <w:rFonts w:hint="eastAsia" w:ascii="方正仿宋_GBK" w:hAnsi="方正仿宋_GBK" w:eastAsia="方正仿宋_GBK" w:cs="方正仿宋_GBK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2021-11-09T06:54:00Z</dcterms:created>
  <dc:creator>23</dc:creator>
  <cp:lastModifiedBy>23</cp:lastModifiedBy>
  <dcterms:modified xsi:type="dcterms:W3CDTF">2021-11-09T06:55:40Z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1DDD06FF0C334B1E924C6AF2871DDFAB</vt:lpwstr>
  </property>
</Properties>
</file>