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04" w:lineRule="atLeast"/>
        <w:ind w:left="0" w:right="0" w:firstLine="0"/>
        <w:rPr>
          <w:rFonts w:ascii="微软雅黑" w:hAnsi="微软雅黑" w:eastAsia="微软雅黑" w:cs="微软雅黑"/>
          <w:i w:val="0"/>
          <w:caps w:val="0"/>
          <w:color w:val="333333"/>
          <w:spacing w:val="0"/>
          <w:sz w:val="24"/>
          <w:szCs w:val="24"/>
        </w:rPr>
      </w:pPr>
      <w:r>
        <w:rPr>
          <w:rFonts w:ascii="方正仿宋简体" w:hAnsi="方正仿宋简体" w:eastAsia="方正仿宋简体" w:cs="方正仿宋简体"/>
          <w:i w:val="0"/>
          <w:caps w:val="0"/>
          <w:color w:val="333333"/>
          <w:spacing w:val="0"/>
          <w:sz w:val="32"/>
          <w:szCs w:val="32"/>
          <w:bdr w:val="none" w:color="auto" w:sz="0" w:space="0"/>
          <w:shd w:val="clear" w:fill="FFFFFF"/>
        </w:rPr>
        <w:t>附件</w:t>
      </w:r>
      <w:r>
        <w:rPr>
          <w:rFonts w:hint="eastAsia" w:ascii="微软雅黑" w:hAnsi="微软雅黑" w:eastAsia="微软雅黑" w:cs="微软雅黑"/>
          <w:i w:val="0"/>
          <w:caps w:val="0"/>
          <w:color w:val="333333"/>
          <w:spacing w:val="0"/>
          <w:sz w:val="32"/>
          <w:szCs w:val="32"/>
          <w:bdr w:val="none" w:color="auto" w:sz="0" w:space="0"/>
          <w:shd w:val="clear" w:fill="FFFFFF"/>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0"/>
        <w:jc w:val="center"/>
        <w:rPr>
          <w:rFonts w:hint="eastAsia" w:ascii="微软雅黑" w:hAnsi="微软雅黑" w:eastAsia="微软雅黑" w:cs="微软雅黑"/>
          <w:i w:val="0"/>
          <w:caps w:val="0"/>
          <w:color w:val="333333"/>
          <w:spacing w:val="0"/>
          <w:sz w:val="24"/>
          <w:szCs w:val="24"/>
        </w:rPr>
      </w:pPr>
      <w:r>
        <w:rPr>
          <w:rFonts w:hint="eastAsia" w:ascii="宋体" w:hAnsi="宋体" w:eastAsia="宋体" w:cs="宋体"/>
          <w:i w:val="0"/>
          <w:caps w:val="0"/>
          <w:color w:val="000000"/>
          <w:spacing w:val="0"/>
          <w:sz w:val="36"/>
          <w:szCs w:val="36"/>
          <w:bdr w:val="none" w:color="auto" w:sz="0" w:space="0"/>
          <w:shd w:val="clear" w:fill="FFFFFF"/>
        </w:rPr>
        <w:t>2020年城区学校公开选聘工</w:t>
      </w:r>
      <w:bookmarkStart w:id="0" w:name="_GoBack"/>
      <w:bookmarkEnd w:id="0"/>
      <w:r>
        <w:rPr>
          <w:rFonts w:hint="eastAsia" w:ascii="宋体" w:hAnsi="宋体" w:eastAsia="宋体" w:cs="宋体"/>
          <w:i w:val="0"/>
          <w:caps w:val="0"/>
          <w:color w:val="000000"/>
          <w:spacing w:val="0"/>
          <w:sz w:val="36"/>
          <w:szCs w:val="36"/>
          <w:bdr w:val="none" w:color="auto" w:sz="0" w:space="0"/>
          <w:shd w:val="clear" w:fill="FFFFFF"/>
        </w:rPr>
        <w:t>作人员加分表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5" w:lineRule="atLeast"/>
        <w:ind w:left="0" w:right="0" w:firstLine="475"/>
        <w:jc w:val="left"/>
        <w:rPr>
          <w:rFonts w:hint="eastAsia" w:ascii="微软雅黑" w:hAnsi="微软雅黑" w:eastAsia="微软雅黑" w:cs="微软雅黑"/>
          <w:i w:val="0"/>
          <w:caps w:val="0"/>
          <w:color w:val="333333"/>
          <w:spacing w:val="0"/>
          <w:sz w:val="24"/>
          <w:szCs w:val="24"/>
        </w:rPr>
      </w:pPr>
      <w:r>
        <w:rPr>
          <w:rFonts w:ascii="cursive" w:hAnsi="cursive" w:eastAsia="cursive" w:cs="cursive"/>
          <w:i w:val="0"/>
          <w:caps w:val="0"/>
          <w:color w:val="000000"/>
          <w:spacing w:val="0"/>
          <w:sz w:val="24"/>
          <w:szCs w:val="24"/>
          <w:bdr w:val="none" w:color="auto" w:sz="0" w:space="0"/>
          <w:shd w:val="clear" w:fill="FFFFFF"/>
        </w:rPr>
        <w:t>工作单位</w:t>
      </w:r>
      <w:r>
        <w:rPr>
          <w:rFonts w:hint="default" w:ascii="cursive" w:hAnsi="cursive" w:eastAsia="cursive" w:cs="cursive"/>
          <w:i w:val="0"/>
          <w:caps w:val="0"/>
          <w:color w:val="000000"/>
          <w:spacing w:val="0"/>
          <w:sz w:val="24"/>
          <w:szCs w:val="24"/>
          <w:u w:val="single"/>
          <w:bdr w:val="none" w:color="auto" w:sz="0" w:space="0"/>
          <w:shd w:val="clear" w:fill="FFFFFF"/>
        </w:rPr>
        <w:t>          </w:t>
      </w:r>
      <w:r>
        <w:rPr>
          <w:rFonts w:hint="default" w:ascii="cursive" w:hAnsi="cursive" w:eastAsia="cursive" w:cs="cursive"/>
          <w:i w:val="0"/>
          <w:caps w:val="0"/>
          <w:color w:val="000000"/>
          <w:spacing w:val="0"/>
          <w:sz w:val="24"/>
          <w:szCs w:val="24"/>
          <w:bdr w:val="none" w:color="auto" w:sz="0" w:space="0"/>
          <w:shd w:val="clear" w:fill="FFFFFF"/>
        </w:rPr>
        <w:t>  姓名</w:t>
      </w:r>
      <w:r>
        <w:rPr>
          <w:rFonts w:hint="default" w:ascii="cursive" w:hAnsi="cursive" w:eastAsia="cursive" w:cs="cursive"/>
          <w:i w:val="0"/>
          <w:caps w:val="0"/>
          <w:color w:val="000000"/>
          <w:spacing w:val="0"/>
          <w:sz w:val="24"/>
          <w:szCs w:val="24"/>
          <w:u w:val="single"/>
          <w:bdr w:val="none" w:color="auto" w:sz="0" w:space="0"/>
          <w:shd w:val="clear" w:fill="FFFFFF"/>
        </w:rPr>
        <w:t>          </w:t>
      </w:r>
      <w:r>
        <w:rPr>
          <w:rFonts w:hint="default" w:ascii="cursive" w:hAnsi="cursive" w:eastAsia="cursive" w:cs="cursive"/>
          <w:i w:val="0"/>
          <w:caps w:val="0"/>
          <w:color w:val="000000"/>
          <w:spacing w:val="0"/>
          <w:sz w:val="24"/>
          <w:szCs w:val="24"/>
          <w:bdr w:val="none" w:color="auto" w:sz="0" w:space="0"/>
          <w:shd w:val="clear" w:fill="FFFFFF"/>
        </w:rPr>
        <w:t>  报考学校及岗位</w:t>
      </w:r>
      <w:r>
        <w:rPr>
          <w:rFonts w:hint="default" w:ascii="cursive" w:hAnsi="cursive" w:eastAsia="cursive" w:cs="cursive"/>
          <w:i w:val="0"/>
          <w:caps w:val="0"/>
          <w:color w:val="000000"/>
          <w:spacing w:val="0"/>
          <w:sz w:val="24"/>
          <w:szCs w:val="24"/>
          <w:u w:val="single"/>
          <w:bdr w:val="none" w:color="auto" w:sz="0" w:space="0"/>
          <w:shd w:val="clear" w:fill="FFFFFF"/>
        </w:rPr>
        <w:t>            </w:t>
      </w:r>
    </w:p>
    <w:tbl>
      <w:tblPr>
        <w:tblW w:w="9945"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105" w:type="dxa"/>
          <w:left w:w="105" w:type="dxa"/>
          <w:bottom w:w="105" w:type="dxa"/>
          <w:right w:w="105" w:type="dxa"/>
        </w:tblCellMar>
      </w:tblPr>
      <w:tblGrid>
        <w:gridCol w:w="370"/>
        <w:gridCol w:w="1816"/>
        <w:gridCol w:w="1005"/>
        <w:gridCol w:w="1675"/>
        <w:gridCol w:w="1728"/>
        <w:gridCol w:w="1322"/>
        <w:gridCol w:w="441"/>
        <w:gridCol w:w="335"/>
        <w:gridCol w:w="1253"/>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类别</w:t>
            </w:r>
          </w:p>
        </w:tc>
        <w:tc>
          <w:tcPr>
            <w:tcW w:w="154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加分项目</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000000"/>
                <w:sz w:val="24"/>
                <w:szCs w:val="24"/>
                <w:bdr w:val="none" w:color="auto" w:sz="0" w:space="0"/>
              </w:rPr>
              <w:t>分      值</w:t>
            </w:r>
          </w:p>
        </w:tc>
        <w:tc>
          <w:tcPr>
            <w:tcW w:w="112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评分依据</w:t>
            </w:r>
          </w:p>
        </w:tc>
        <w:tc>
          <w:tcPr>
            <w:tcW w:w="37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自评分</w:t>
            </w:r>
          </w:p>
        </w:tc>
        <w:tc>
          <w:tcPr>
            <w:tcW w:w="28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pPr>
            <w:r>
              <w:rPr>
                <w:rStyle w:val="5"/>
                <w:rFonts w:hint="eastAsia" w:ascii="宋体" w:hAnsi="宋体" w:eastAsia="宋体" w:cs="宋体"/>
                <w:color w:val="333333"/>
                <w:sz w:val="24"/>
                <w:szCs w:val="24"/>
                <w:bdr w:val="none" w:color="auto" w:sz="0" w:space="0"/>
              </w:rPr>
              <w:t>实得分</w:t>
            </w:r>
          </w:p>
        </w:tc>
        <w:tc>
          <w:tcPr>
            <w:tcW w:w="106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签字</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000000"/>
                <w:sz w:val="24"/>
                <w:szCs w:val="24"/>
                <w:bdr w:val="none" w:color="auto" w:sz="0" w:space="0"/>
              </w:rPr>
              <w:t>县级</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省（直辖市、自治区）级</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国家级</w:t>
            </w:r>
          </w:p>
        </w:tc>
        <w:tc>
          <w:tcPr>
            <w:tcW w:w="112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37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28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06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荣誉称号</w:t>
            </w: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名师、学科带头人、特级教师、骨干校长      </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4</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5</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6</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骨干教师</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3</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4</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5</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教学能手</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2</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优秀教师或优秀教育工作者</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2</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3</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4</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优秀班主任、辅导员、德育工作者</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2</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3</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4</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olor w:val="333333"/>
                <w:sz w:val="24"/>
                <w:szCs w:val="24"/>
                <w:bdr w:val="none" w:color="auto" w:sz="0" w:space="0"/>
              </w:rPr>
              <w:t>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olor w:val="333333"/>
                <w:sz w:val="24"/>
                <w:szCs w:val="24"/>
                <w:bdr w:val="none" w:color="auto" w:sz="0" w:space="0"/>
              </w:rPr>
              <w:t>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Style w:val="5"/>
                <w:rFonts w:hint="eastAsia" w:ascii="宋体" w:hAnsi="宋体" w:eastAsia="宋体" w:cs="宋体"/>
                <w:color w:val="333333"/>
                <w:sz w:val="24"/>
                <w:szCs w:val="24"/>
                <w:bdr w:val="none" w:color="auto" w:sz="0" w:space="0"/>
              </w:rPr>
              <w:t>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333333"/>
                <w:sz w:val="24"/>
                <w:szCs w:val="24"/>
                <w:bdr w:val="none" w:color="auto" w:sz="0" w:space="0"/>
              </w:rPr>
              <w:t>平</w:t>
            </w: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学科教学竞赛（含说课）或教师基本功竞赛（综合）</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一等奖</w:t>
            </w:r>
            <w:r>
              <w:rPr>
                <w:color w:val="000000"/>
                <w:sz w:val="24"/>
                <w:szCs w:val="24"/>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二等奖</w:t>
            </w:r>
            <w:r>
              <w:rPr>
                <w:color w:val="000000"/>
                <w:sz w:val="24"/>
                <w:szCs w:val="24"/>
                <w:bdr w:val="none" w:color="auto" w:sz="0" w:space="0"/>
              </w:rPr>
              <w:t>0.5</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一等奖</w:t>
            </w:r>
            <w:r>
              <w:rPr>
                <w:color w:val="000000"/>
                <w:sz w:val="24"/>
                <w:szCs w:val="24"/>
                <w:bdr w:val="none" w:color="auto" w:sz="0" w:space="0"/>
              </w:rPr>
              <w:t>2</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二等奖</w:t>
            </w:r>
            <w:r>
              <w:rPr>
                <w:color w:val="000000"/>
                <w:sz w:val="24"/>
                <w:szCs w:val="24"/>
                <w:bdr w:val="none" w:color="auto" w:sz="0" w:space="0"/>
              </w:rPr>
              <w:t>1.5</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三等奖</w:t>
            </w:r>
            <w:r>
              <w:rPr>
                <w:color w:val="000000"/>
                <w:sz w:val="24"/>
                <w:szCs w:val="24"/>
                <w:bdr w:val="none" w:color="auto" w:sz="0" w:space="0"/>
              </w:rPr>
              <w:t>1</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一等奖</w:t>
            </w:r>
            <w:r>
              <w:rPr>
                <w:color w:val="000000"/>
                <w:sz w:val="24"/>
                <w:szCs w:val="24"/>
                <w:bdr w:val="none" w:color="auto" w:sz="0" w:space="0"/>
              </w:rPr>
              <w:t>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二等奖</w:t>
            </w:r>
            <w:r>
              <w:rPr>
                <w:color w:val="000000"/>
                <w:sz w:val="24"/>
                <w:szCs w:val="24"/>
                <w:bdr w:val="none" w:color="auto" w:sz="0" w:space="0"/>
              </w:rPr>
              <w:t>3</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三等奖</w:t>
            </w:r>
            <w:r>
              <w:rPr>
                <w:color w:val="000000"/>
                <w:sz w:val="24"/>
                <w:szCs w:val="24"/>
                <w:bdr w:val="none" w:color="auto" w:sz="0" w:space="0"/>
              </w:rPr>
              <w:t>2</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结题课题</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0.5</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1</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2</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论文获奖</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一等奖</w:t>
            </w:r>
            <w:r>
              <w:rPr>
                <w:color w:val="000000"/>
                <w:sz w:val="24"/>
                <w:szCs w:val="24"/>
                <w:bdr w:val="none" w:color="auto" w:sz="0" w:space="0"/>
              </w:rPr>
              <w:t>0.3</w:t>
            </w: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一等奖</w:t>
            </w:r>
            <w:r>
              <w:rPr>
                <w:color w:val="000000"/>
                <w:sz w:val="24"/>
                <w:szCs w:val="24"/>
                <w:bdr w:val="none" w:color="auto" w:sz="0" w:space="0"/>
              </w:rPr>
              <w:t>0.5</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sz w:val="24"/>
                <w:szCs w:val="24"/>
                <w:bdr w:val="none" w:color="auto" w:sz="0" w:space="0"/>
              </w:rPr>
              <w:t>一等奖</w:t>
            </w:r>
            <w:r>
              <w:rPr>
                <w:color w:val="000000"/>
                <w:sz w:val="24"/>
                <w:szCs w:val="24"/>
                <w:bdr w:val="none" w:color="auto" w:sz="0" w:space="0"/>
              </w:rPr>
              <w:t>1</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二等奖</w:t>
            </w:r>
            <w:r>
              <w:rPr>
                <w:color w:val="000000"/>
                <w:sz w:val="24"/>
                <w:szCs w:val="24"/>
                <w:bdr w:val="none" w:color="auto" w:sz="0" w:space="0"/>
              </w:rPr>
              <w:t>0.5</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论文发表</w:t>
            </w:r>
          </w:p>
        </w:tc>
        <w:tc>
          <w:tcPr>
            <w:tcW w:w="85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4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0.5</w:t>
            </w:r>
          </w:p>
        </w:tc>
        <w:tc>
          <w:tcPr>
            <w:tcW w:w="1050"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color w:val="333333"/>
                <w:sz w:val="24"/>
                <w:szCs w:val="24"/>
                <w:bdr w:val="none" w:color="auto" w:sz="0" w:space="0"/>
              </w:rPr>
              <w:t>1</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restart"/>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000000"/>
                <w:sz w:val="24"/>
                <w:szCs w:val="24"/>
                <w:bdr w:val="none" w:color="auto" w:sz="0" w:space="0"/>
              </w:rPr>
              <w:t>任职情况</w:t>
            </w: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任班主任</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每期</w:t>
            </w:r>
            <w:r>
              <w:rPr>
                <w:color w:val="000000"/>
                <w:sz w:val="24"/>
                <w:szCs w:val="24"/>
                <w:bdr w:val="none" w:color="auto" w:sz="0" w:space="0"/>
              </w:rPr>
              <w:t>0.3</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任年级组长</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每期</w:t>
            </w:r>
            <w:r>
              <w:rPr>
                <w:color w:val="333333"/>
                <w:sz w:val="24"/>
                <w:szCs w:val="24"/>
                <w:bdr w:val="none" w:color="auto" w:sz="0" w:space="0"/>
              </w:rPr>
              <w:t>0.3</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任教研组长</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每期</w:t>
            </w:r>
            <w:r>
              <w:rPr>
                <w:color w:val="333333"/>
                <w:sz w:val="24"/>
                <w:szCs w:val="24"/>
                <w:bdr w:val="none" w:color="auto" w:sz="0" w:space="0"/>
              </w:rPr>
              <w:t>0.3</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24"/>
                <w:szCs w:val="24"/>
                <w:bdr w:val="none" w:color="auto" w:sz="0" w:space="0"/>
              </w:rPr>
              <w:t>任中层及以上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领导干部</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每期</w:t>
            </w:r>
            <w:r>
              <w:rPr>
                <w:color w:val="333333"/>
                <w:sz w:val="24"/>
                <w:szCs w:val="24"/>
                <w:bdr w:val="none" w:color="auto" w:sz="0" w:space="0"/>
              </w:rPr>
              <w:t>0.5</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c>
          <w:tcPr>
            <w:tcW w:w="315" w:type="dxa"/>
            <w:vMerge w:val="continue"/>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rPr>
                <w:rFonts w:hint="eastAsia" w:ascii="宋体"/>
                <w:color w:val="333333"/>
                <w:sz w:val="24"/>
                <w:szCs w:val="24"/>
              </w:rPr>
            </w:pP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333333"/>
                <w:sz w:val="24"/>
                <w:szCs w:val="24"/>
                <w:bdr w:val="none" w:color="auto" w:sz="0" w:space="0"/>
              </w:rPr>
              <w:t>农村学校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工作经历</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在农村学校工作满</w:t>
            </w:r>
            <w:r>
              <w:rPr>
                <w:color w:val="333333"/>
                <w:sz w:val="24"/>
                <w:szCs w:val="24"/>
                <w:bdr w:val="none" w:color="auto" w:sz="0" w:space="0"/>
              </w:rPr>
              <w:t>10</w:t>
            </w:r>
            <w:r>
              <w:rPr>
                <w:rFonts w:hint="eastAsia" w:ascii="宋体" w:hAnsi="宋体" w:eastAsia="宋体" w:cs="宋体"/>
                <w:color w:val="333333"/>
                <w:sz w:val="24"/>
                <w:szCs w:val="24"/>
                <w:bdr w:val="none" w:color="auto" w:sz="0" w:space="0"/>
              </w:rPr>
              <w:t>年的加</w:t>
            </w:r>
            <w:r>
              <w:rPr>
                <w:color w:val="333333"/>
                <w:sz w:val="24"/>
                <w:szCs w:val="24"/>
                <w:bdr w:val="none" w:color="auto" w:sz="0" w:space="0"/>
              </w:rPr>
              <w:t>1</w:t>
            </w:r>
            <w:r>
              <w:rPr>
                <w:rFonts w:hint="eastAsia" w:ascii="宋体" w:hAnsi="宋体" w:eastAsia="宋体" w:cs="宋体"/>
                <w:color w:val="333333"/>
                <w:sz w:val="24"/>
                <w:szCs w:val="24"/>
                <w:bdr w:val="none" w:color="auto" w:sz="0" w:space="0"/>
              </w:rPr>
              <w:t>分，每增加</w:t>
            </w:r>
            <w:r>
              <w:rPr>
                <w:color w:val="333333"/>
                <w:sz w:val="24"/>
                <w:szCs w:val="24"/>
                <w:bdr w:val="none" w:color="auto" w:sz="0" w:space="0"/>
              </w:rPr>
              <w:t>1</w:t>
            </w:r>
            <w:r>
              <w:rPr>
                <w:rFonts w:hint="eastAsia" w:ascii="宋体" w:hAnsi="宋体" w:eastAsia="宋体" w:cs="宋体"/>
                <w:color w:val="333333"/>
                <w:sz w:val="24"/>
                <w:szCs w:val="24"/>
                <w:bdr w:val="none" w:color="auto" w:sz="0" w:space="0"/>
              </w:rPr>
              <w:t>年加</w:t>
            </w:r>
            <w:r>
              <w:rPr>
                <w:color w:val="333333"/>
                <w:sz w:val="24"/>
                <w:szCs w:val="24"/>
                <w:bdr w:val="none" w:color="auto" w:sz="0" w:space="0"/>
              </w:rPr>
              <w:t>0.2</w:t>
            </w:r>
            <w:r>
              <w:rPr>
                <w:rFonts w:hint="eastAsia" w:ascii="宋体" w:hAnsi="宋体" w:eastAsia="宋体" w:cs="宋体"/>
                <w:color w:val="333333"/>
                <w:sz w:val="24"/>
                <w:szCs w:val="24"/>
                <w:bdr w:val="none" w:color="auto" w:sz="0" w:space="0"/>
              </w:rPr>
              <w:t>分</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105" w:type="dxa"/>
            <w:left w:w="105" w:type="dxa"/>
            <w:bottom w:w="105" w:type="dxa"/>
            <w:right w:w="105" w:type="dxa"/>
          </w:tblCellMar>
        </w:tblPrEx>
        <w:trPr>
          <w:trHeight w:val="1441" w:hRule="atLeast"/>
        </w:trPr>
        <w:tc>
          <w:tcPr>
            <w:tcW w:w="31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Style w:val="5"/>
                <w:rFonts w:hint="eastAsia" w:ascii="宋体" w:hAnsi="宋体" w:eastAsia="宋体" w:cs="宋体"/>
                <w:color w:val="000000"/>
                <w:sz w:val="24"/>
                <w:szCs w:val="24"/>
                <w:bdr w:val="none" w:color="auto" w:sz="0" w:space="0"/>
              </w:rPr>
              <w:t>年度考核</w:t>
            </w:r>
          </w:p>
        </w:tc>
        <w:tc>
          <w:tcPr>
            <w:tcW w:w="154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color w:val="000000"/>
                <w:sz w:val="24"/>
                <w:szCs w:val="24"/>
                <w:bdr w:val="none" w:color="auto" w:sz="0" w:space="0"/>
              </w:rPr>
              <w:t>2018</w:t>
            </w:r>
            <w:r>
              <w:rPr>
                <w:rFonts w:hint="eastAsia" w:ascii="宋体" w:hAnsi="宋体" w:eastAsia="宋体" w:cs="宋体"/>
                <w:color w:val="000000"/>
                <w:sz w:val="24"/>
                <w:szCs w:val="24"/>
                <w:bdr w:val="none" w:color="auto" w:sz="0" w:space="0"/>
              </w:rPr>
              <w:t>、</w:t>
            </w:r>
            <w:r>
              <w:rPr>
                <w:color w:val="000000"/>
                <w:sz w:val="24"/>
                <w:szCs w:val="24"/>
                <w:bdr w:val="none" w:color="auto" w:sz="0" w:space="0"/>
              </w:rPr>
              <w:t>2019</w:t>
            </w:r>
            <w:r>
              <w:rPr>
                <w:rFonts w:hint="eastAsia" w:ascii="宋体" w:hAnsi="宋体" w:eastAsia="宋体" w:cs="宋体"/>
                <w:color w:val="000000"/>
                <w:sz w:val="24"/>
                <w:szCs w:val="24"/>
                <w:bdr w:val="none" w:color="auto" w:sz="0" w:space="0"/>
              </w:rPr>
              <w:t>年度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333333"/>
                <w:sz w:val="24"/>
                <w:szCs w:val="24"/>
                <w:bdr w:val="none" w:color="auto" w:sz="0" w:space="0"/>
              </w:rPr>
              <w:t>考核优秀</w:t>
            </w:r>
          </w:p>
        </w:tc>
        <w:tc>
          <w:tcPr>
            <w:tcW w:w="3750" w:type="dxa"/>
            <w:gridSpan w:val="3"/>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r>
              <w:rPr>
                <w:rFonts w:hint="eastAsia" w:ascii="宋体" w:hAnsi="宋体" w:eastAsia="宋体" w:cs="宋体"/>
                <w:color w:val="000000"/>
                <w:sz w:val="24"/>
                <w:szCs w:val="24"/>
                <w:bdr w:val="none" w:color="auto" w:sz="0" w:space="0"/>
              </w:rPr>
              <w:t>每年加</w:t>
            </w:r>
            <w:r>
              <w:rPr>
                <w:color w:val="000000"/>
                <w:sz w:val="24"/>
                <w:szCs w:val="24"/>
                <w:bdr w:val="none" w:color="auto" w:sz="0" w:space="0"/>
              </w:rPr>
              <w:t>1</w:t>
            </w:r>
            <w:r>
              <w:rPr>
                <w:rFonts w:hint="eastAsia" w:ascii="宋体" w:hAnsi="宋体" w:eastAsia="宋体" w:cs="宋体"/>
                <w:color w:val="000000"/>
                <w:sz w:val="24"/>
                <w:szCs w:val="24"/>
                <w:bdr w:val="none" w:color="auto" w:sz="0" w:space="0"/>
              </w:rPr>
              <w:t>分</w:t>
            </w:r>
          </w:p>
        </w:tc>
        <w:tc>
          <w:tcPr>
            <w:tcW w:w="112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37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28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c>
          <w:tcPr>
            <w:tcW w:w="1065" w:type="dxa"/>
            <w:tcBorders>
              <w:top w:val="single" w:color="E5E5E5" w:sz="6" w:space="0"/>
              <w:left w:val="single" w:color="E5E5E5" w:sz="6" w:space="0"/>
              <w:bottom w:val="single" w:color="E5E5E5" w:sz="6" w:space="0"/>
              <w:right w:val="single" w:color="E5E5E5" w:sz="6" w:space="0"/>
            </w:tcBorders>
            <w:shd w:val="clear"/>
            <w:tcMar>
              <w:top w:w="0" w:type="dxa"/>
              <w:left w:w="0" w:type="dxa"/>
              <w:bottom w:w="0" w:type="dxa"/>
              <w:right w:w="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180" w:afterAutospacing="0"/>
              <w:ind w:left="0" w:right="0"/>
              <w:jc w:val="center"/>
            </w:pP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0"/>
        <w:rPr>
          <w:rFonts w:hint="eastAsia" w:ascii="微软雅黑" w:hAnsi="微软雅黑" w:eastAsia="微软雅黑" w:cs="微软雅黑"/>
          <w:i w:val="0"/>
          <w:caps w:val="0"/>
          <w:color w:val="333333"/>
          <w:spacing w:val="0"/>
          <w:sz w:val="24"/>
          <w:szCs w:val="24"/>
        </w:rPr>
      </w:pPr>
      <w:r>
        <w:rPr>
          <w:rStyle w:val="5"/>
          <w:rFonts w:hint="eastAsia" w:ascii="方正仿宋简体" w:hAnsi="方正仿宋简体" w:eastAsia="方正仿宋简体" w:cs="方正仿宋简体"/>
          <w:i w:val="0"/>
          <w:caps w:val="0"/>
          <w:color w:val="333333"/>
          <w:spacing w:val="0"/>
          <w:sz w:val="30"/>
          <w:szCs w:val="30"/>
          <w:bdr w:val="none" w:color="auto" w:sz="0" w:space="0"/>
          <w:shd w:val="clear" w:fill="FFFFFF"/>
        </w:rPr>
        <w:t>备注：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1.荣誉称号最高加分不超过6分，专业水平加分最高不超过4分（其中结题课题、论文获奖和论文发表共计最高不超过2分，同一论文获奖或发表加分，就高不累加）。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000000"/>
          <w:spacing w:val="0"/>
          <w:sz w:val="30"/>
          <w:szCs w:val="30"/>
          <w:bdr w:val="none" w:color="auto" w:sz="0" w:space="0"/>
          <w:shd w:val="clear" w:fill="FFFFFF"/>
        </w:rPr>
        <w:t>2.获得名师、学科带头人、特级教师、骨干校长，骨干教师，教学能手，优秀教师或优秀教育工作者，优秀班主任、辅导员、德育工作者荣誉称号的，以县级及以上党委、政府、教育主管部门的认定或表彰为准。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3.学科教学竞赛（含说课）或教师基本功竞赛（综合）以教育部（司、处）、中央教科所、省（直辖市、自治区）教科院、继续教育中心、县教师进修学校组织的评比为准。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4.论文获奖以教育部（司、处）、中央教科所、省（直辖市、自治区）教科院、继续教育中心、县级教研机构组织的评选为准。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5.课题以全国教育科学规划办、省（直辖市、自治区）教育科学规划办立项课题为准。获奖主研人员按相应等次加分，参研人员折半记分（子课题折半加分）。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6.论文发表以公开发行的刊物为准（统一刊号为CN或ISSN）。</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7.任年级组长、教研组长和中层及以上领导干部加分项目在加分时限内选其一项进行加分，就高不累加。农村学校工作经历按实际年限加分。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590"/>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8.有文件规定可享受加分照顾的，按相关文件规定加分。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jc w:val="left"/>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000000"/>
          <w:spacing w:val="0"/>
          <w:sz w:val="30"/>
          <w:szCs w:val="30"/>
          <w:bdr w:val="none" w:color="auto" w:sz="0" w:space="0"/>
          <w:shd w:val="clear" w:fill="FFFFFF"/>
        </w:rPr>
        <w:t>9.除农村学校工作经历外的加分时限为2018年9月30日—2020年7月21日。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18" w:lineRule="atLeast"/>
        <w:ind w:left="0" w:right="0" w:firstLine="605"/>
        <w:rPr>
          <w:rFonts w:hint="eastAsia" w:ascii="微软雅黑" w:hAnsi="微软雅黑" w:eastAsia="微软雅黑" w:cs="微软雅黑"/>
          <w:i w:val="0"/>
          <w:caps w:val="0"/>
          <w:color w:val="333333"/>
          <w:spacing w:val="0"/>
          <w:sz w:val="24"/>
          <w:szCs w:val="24"/>
        </w:rPr>
      </w:pPr>
      <w:r>
        <w:rPr>
          <w:rFonts w:hint="eastAsia" w:ascii="方正仿宋简体" w:hAnsi="方正仿宋简体" w:eastAsia="方正仿宋简体" w:cs="方正仿宋简体"/>
          <w:i w:val="0"/>
          <w:caps w:val="0"/>
          <w:color w:val="333333"/>
          <w:spacing w:val="0"/>
          <w:sz w:val="30"/>
          <w:szCs w:val="30"/>
          <w:bdr w:val="none" w:color="auto" w:sz="0" w:space="0"/>
          <w:shd w:val="clear" w:fill="FFFFFF"/>
        </w:rPr>
        <w:t>10.此表中“自评分”、“评分说明”等栏目由报考人员自己规范填写，所填信息必须准确无误，报名时必须交验相关证明材料。</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方正仿宋简体">
    <w:panose1 w:val="02010601030101010101"/>
    <w:charset w:val="86"/>
    <w:family w:val="auto"/>
    <w:pitch w:val="default"/>
    <w:sig w:usb0="00000001" w:usb1="080E0000" w:usb2="00000000" w:usb3="00000000" w:csb0="00040000" w:csb1="00000000"/>
  </w:font>
  <w:font w:name="cursiv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D06A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rPr>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2020-07-28T09:08:59Z</dcterms:created>
  <dc:creator>Administrator</dc:creator>
  <cp:lastModifiedBy>笑靥如花</cp:lastModifiedBy>
  <dcterms:modified xsi:type="dcterms:W3CDTF">2020-07-28T09:09:08Z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